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49" w:rsidRDefault="00D63249" w:rsidP="00D6324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D63249" w:rsidRDefault="00D63249" w:rsidP="00D63249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</w:p>
    <w:p w:rsidR="00D63249" w:rsidRDefault="00D63249" w:rsidP="00D63249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上海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高校智库内涵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建设项目申报指南</w:t>
      </w:r>
      <w:bookmarkEnd w:id="0"/>
    </w:p>
    <w:p w:rsidR="00D63249" w:rsidRDefault="00D63249" w:rsidP="00D63249">
      <w:pPr>
        <w:spacing w:line="50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</w:t>
      </w:r>
      <w:r>
        <w:rPr>
          <w:rFonts w:ascii="仿宋_GB2312" w:eastAsia="仿宋_GB2312" w:hAnsi="仿宋_GB2312" w:cs="仿宋_GB2312"/>
          <w:sz w:val="28"/>
          <w:szCs w:val="28"/>
        </w:rPr>
        <w:t>2018</w:t>
      </w:r>
      <w:r>
        <w:rPr>
          <w:rFonts w:ascii="仿宋_GB2312" w:eastAsia="仿宋_GB2312" w:hAnsi="仿宋_GB2312" w:cs="仿宋_GB2312" w:hint="eastAsia"/>
          <w:sz w:val="28"/>
          <w:szCs w:val="28"/>
        </w:rPr>
        <w:t>版）</w:t>
      </w:r>
    </w:p>
    <w:p w:rsidR="00D63249" w:rsidRDefault="00D63249" w:rsidP="00D63249">
      <w:pPr>
        <w:spacing w:line="500" w:lineRule="exact"/>
      </w:pPr>
    </w:p>
    <w:p w:rsidR="00D63249" w:rsidRDefault="00D63249" w:rsidP="00D63249">
      <w:pPr>
        <w:pStyle w:val="a3"/>
        <w:spacing w:line="500" w:lineRule="exact"/>
        <w:ind w:firstLineChars="0" w:firstLine="0"/>
        <w:rPr>
          <w:rFonts w:ascii="黑体" w:eastAsia="黑体" w:hAnsi="黑体" w:cs="黑体"/>
          <w:bCs/>
          <w:sz w:val="30"/>
          <w:szCs w:val="30"/>
        </w:rPr>
      </w:pPr>
      <w:r>
        <w:rPr>
          <w:rFonts w:ascii="黑体" w:eastAsia="黑体" w:hAnsi="黑体" w:cs="黑体" w:hint="eastAsia"/>
          <w:bCs/>
          <w:sz w:val="30"/>
          <w:szCs w:val="30"/>
        </w:rPr>
        <w:t>一、国家层面：</w:t>
      </w:r>
    </w:p>
    <w:p w:rsidR="00D63249" w:rsidRDefault="00D63249" w:rsidP="00D63249">
      <w:pPr>
        <w:pStyle w:val="a3"/>
        <w:spacing w:line="500" w:lineRule="exact"/>
        <w:ind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1.经济领域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中国高质量增长的内涵和路径、国际经济走向对中国宏观经济的影响、“中国制造2025”的实现路径和挑战、中国与他国的贸易争端、国际贸易规则修订及走势、中国核心技术突破路径、中国金融风险的防范、国际顶尖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智库对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国际和中国经济形势的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判等。</w:t>
      </w:r>
    </w:p>
    <w:p w:rsidR="00D63249" w:rsidRDefault="00D63249" w:rsidP="00D63249">
      <w:pPr>
        <w:pStyle w:val="a3"/>
        <w:spacing w:line="500" w:lineRule="exact"/>
        <w:ind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2.政治和外交领域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党的建设、意识形态工作领导权、依法治国、社会主义民主政治建设、“一带一路”倡议中的风险防范和争端解决、中国周边地区局势发展和走向、区域国别研究、中国国家安全面临的问题和挑战、中国主场外交、中国国际舆情风险、大型纪念活动的策划和风险防范、国际顶尖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智库对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国际政治形势的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研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判等。</w:t>
      </w:r>
    </w:p>
    <w:p w:rsidR="00D63249" w:rsidRDefault="00D63249" w:rsidP="00D63249">
      <w:pPr>
        <w:spacing w:line="500" w:lineRule="exact"/>
        <w:ind w:firstLineChars="200"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3.文化建设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社会主义核心价值观、思想道德建设、文化事业和文化产业、公共文化服务体系等方向、讲好中国故事和对外传播等。</w:t>
      </w:r>
    </w:p>
    <w:p w:rsidR="00D63249" w:rsidRDefault="00D63249" w:rsidP="00D63249">
      <w:pPr>
        <w:spacing w:line="500" w:lineRule="exact"/>
        <w:ind w:firstLineChars="200"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4.社会建设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社会保障体系、就业、人口、养老、脱贫攻坚战、网络治理、国内舆情引导和风险防范、食品安全、医药卫生体制改革、基层医疗卫生服务体系、基层治理创新等。</w:t>
      </w:r>
    </w:p>
    <w:p w:rsidR="00D63249" w:rsidRDefault="00D63249" w:rsidP="00D63249">
      <w:pPr>
        <w:spacing w:line="500" w:lineRule="exact"/>
        <w:ind w:firstLineChars="200" w:firstLine="602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5.生态文明建设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推进绿色发展、污染防治、生态系统保护和监管、对生态能</w:t>
      </w: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lastRenderedPageBreak/>
        <w:t>源形势的</w:t>
      </w:r>
      <w:proofErr w:type="gramStart"/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研</w:t>
      </w:r>
      <w:proofErr w:type="gramEnd"/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判等。</w:t>
      </w:r>
    </w:p>
    <w:p w:rsidR="00D63249" w:rsidRDefault="00D63249" w:rsidP="00D63249">
      <w:pPr>
        <w:spacing w:line="500" w:lineRule="exact"/>
        <w:ind w:firstLineChars="200" w:firstLine="560"/>
        <w:rPr>
          <w:rFonts w:ascii="仿宋_GB2312" w:eastAsia="仿宋_GB2312" w:hAnsi="仿宋_GB2312" w:cs="仿宋_GB2312"/>
          <w:color w:val="222222"/>
          <w:sz w:val="28"/>
          <w:szCs w:val="28"/>
        </w:rPr>
      </w:pPr>
    </w:p>
    <w:p w:rsidR="00D63249" w:rsidRDefault="00D63249" w:rsidP="00D63249">
      <w:pPr>
        <w:pStyle w:val="a3"/>
        <w:spacing w:line="500" w:lineRule="exact"/>
        <w:ind w:firstLineChars="0" w:firstLine="0"/>
        <w:rPr>
          <w:rFonts w:ascii="黑体" w:eastAsia="黑体" w:hAnsi="黑体" w:cs="黑体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28"/>
          <w:szCs w:val="28"/>
        </w:rPr>
        <w:t>二、区域层面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1. 长三角高质量一体化发展（地区交通互联互通、能源协调发展、产业布局协同创新、数据资源共享和信息网络联通、民生公共服务一体化、市场开放、营商环境一体化等）。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/>
          <w:color w:val="222222"/>
          <w:sz w:val="30"/>
          <w:szCs w:val="30"/>
        </w:rPr>
        <w:t>2</w:t>
      </w: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. 长江经济带协同发展（区域合作协调机制、城市群的协调发展和环境保护等）。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color w:val="222222"/>
          <w:sz w:val="30"/>
          <w:szCs w:val="30"/>
        </w:rPr>
      </w:pPr>
      <w:r>
        <w:rPr>
          <w:rFonts w:ascii="仿宋_GB2312" w:eastAsia="仿宋_GB2312" w:hAnsi="仿宋_GB2312" w:cs="仿宋_GB2312"/>
          <w:color w:val="222222"/>
          <w:sz w:val="30"/>
          <w:szCs w:val="30"/>
        </w:rPr>
        <w:t>3</w:t>
      </w:r>
      <w:r>
        <w:rPr>
          <w:rFonts w:ascii="仿宋_GB2312" w:eastAsia="仿宋_GB2312" w:hAnsi="仿宋_GB2312" w:cs="仿宋_GB2312" w:hint="eastAsia"/>
          <w:color w:val="222222"/>
          <w:sz w:val="30"/>
          <w:szCs w:val="30"/>
        </w:rPr>
        <w:t>. 世界级城市群的构建与核心城市作用。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4</w:t>
      </w:r>
      <w:r>
        <w:rPr>
          <w:rFonts w:ascii="仿宋_GB2312" w:eastAsia="仿宋_GB2312" w:hAnsi="仿宋_GB2312" w:cs="仿宋_GB2312" w:hint="eastAsia"/>
          <w:sz w:val="30"/>
          <w:szCs w:val="30"/>
        </w:rPr>
        <w:t>. 上海改革开放再出发重大战略及举措。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5</w:t>
      </w:r>
      <w:r>
        <w:rPr>
          <w:rFonts w:ascii="仿宋_GB2312" w:eastAsia="仿宋_GB2312" w:hAnsi="仿宋_GB2312" w:cs="仿宋_GB2312" w:hint="eastAsia"/>
          <w:sz w:val="30"/>
          <w:szCs w:val="30"/>
        </w:rPr>
        <w:t>. 上海“四大品牌”建设。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6</w:t>
      </w:r>
      <w:r>
        <w:rPr>
          <w:rFonts w:ascii="仿宋_GB2312" w:eastAsia="仿宋_GB2312" w:hAnsi="仿宋_GB2312" w:cs="仿宋_GB2312" w:hint="eastAsia"/>
          <w:sz w:val="30"/>
          <w:szCs w:val="30"/>
        </w:rPr>
        <w:t>. 上海“五个中心”建设。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7</w:t>
      </w:r>
      <w:r>
        <w:rPr>
          <w:rFonts w:ascii="仿宋_GB2312" w:eastAsia="仿宋_GB2312" w:hAnsi="仿宋_GB2312" w:cs="仿宋_GB2312" w:hint="eastAsia"/>
          <w:sz w:val="30"/>
          <w:szCs w:val="30"/>
        </w:rPr>
        <w:t>. 中国国际进口博览会。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8</w:t>
      </w:r>
      <w:r>
        <w:rPr>
          <w:rFonts w:ascii="仿宋_GB2312" w:eastAsia="仿宋_GB2312" w:hAnsi="仿宋_GB2312" w:cs="仿宋_GB2312" w:hint="eastAsia"/>
          <w:sz w:val="30"/>
          <w:szCs w:val="30"/>
        </w:rPr>
        <w:t>. 自贸区升级和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自贸港建设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9</w:t>
      </w:r>
      <w:r>
        <w:rPr>
          <w:rFonts w:ascii="仿宋_GB2312" w:eastAsia="仿宋_GB2312" w:hAnsi="仿宋_GB2312" w:cs="仿宋_GB2312" w:hint="eastAsia"/>
          <w:sz w:val="30"/>
          <w:szCs w:val="30"/>
        </w:rPr>
        <w:t>. 优化上海营商环境。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10</w:t>
      </w:r>
      <w:r>
        <w:rPr>
          <w:rFonts w:ascii="仿宋_GB2312" w:eastAsia="仿宋_GB2312" w:hAnsi="仿宋_GB2312" w:cs="仿宋_GB2312" w:hint="eastAsia"/>
          <w:sz w:val="30"/>
          <w:szCs w:val="30"/>
        </w:rPr>
        <w:t>. 人工智能的发展趋势和上海布局。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11</w:t>
      </w:r>
      <w:r>
        <w:rPr>
          <w:rFonts w:ascii="仿宋_GB2312" w:eastAsia="仿宋_GB2312" w:hAnsi="仿宋_GB2312" w:cs="仿宋_GB2312" w:hint="eastAsia"/>
          <w:sz w:val="30"/>
          <w:szCs w:val="30"/>
        </w:rPr>
        <w:t>. 国际化大都市实施乡村振兴战略的路径和模式选择。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/>
          <w:sz w:val="30"/>
          <w:szCs w:val="30"/>
        </w:rPr>
        <w:t>12</w:t>
      </w:r>
      <w:r>
        <w:rPr>
          <w:rFonts w:ascii="仿宋_GB2312" w:eastAsia="仿宋_GB2312" w:hAnsi="仿宋_GB2312" w:cs="仿宋_GB2312" w:hint="eastAsia"/>
          <w:sz w:val="30"/>
          <w:szCs w:val="30"/>
        </w:rPr>
        <w:t>. 上海提升创新浓度对策研究。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/>
          <w:sz w:val="30"/>
          <w:szCs w:val="30"/>
        </w:rPr>
        <w:t>3</w:t>
      </w:r>
      <w:r>
        <w:rPr>
          <w:rFonts w:ascii="仿宋_GB2312" w:eastAsia="仿宋_GB2312" w:hAnsi="仿宋_GB2312" w:cs="仿宋_GB2312" w:hint="eastAsia"/>
          <w:sz w:val="30"/>
          <w:szCs w:val="30"/>
        </w:rPr>
        <w:t>. 上海扩大服务功能的瓶颈和关键举措。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/>
          <w:sz w:val="30"/>
          <w:szCs w:val="30"/>
        </w:rPr>
        <w:t>4</w:t>
      </w:r>
      <w:r>
        <w:rPr>
          <w:rFonts w:ascii="仿宋_GB2312" w:eastAsia="仿宋_GB2312" w:hAnsi="仿宋_GB2312" w:cs="仿宋_GB2312" w:hint="eastAsia"/>
          <w:sz w:val="30"/>
          <w:szCs w:val="30"/>
        </w:rPr>
        <w:t>. 特大城市的公共安全保障。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</w:t>
      </w:r>
      <w:r>
        <w:rPr>
          <w:rFonts w:ascii="仿宋_GB2312" w:eastAsia="仿宋_GB2312" w:hAnsi="仿宋_GB2312" w:cs="仿宋_GB2312"/>
          <w:sz w:val="30"/>
          <w:szCs w:val="30"/>
        </w:rPr>
        <w:t>5</w:t>
      </w:r>
      <w:r>
        <w:rPr>
          <w:rFonts w:ascii="仿宋_GB2312" w:eastAsia="仿宋_GB2312" w:hAnsi="仿宋_GB2312" w:cs="仿宋_GB2312" w:hint="eastAsia"/>
          <w:sz w:val="30"/>
          <w:szCs w:val="30"/>
        </w:rPr>
        <w:t>. 上海建设“一带一路”桥头堡。</w:t>
      </w:r>
    </w:p>
    <w:p w:rsidR="00D63249" w:rsidRDefault="00D63249" w:rsidP="00D63249">
      <w:pPr>
        <w:spacing w:line="500" w:lineRule="exac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16. 上海建设亚洲医学中心城市</w:t>
      </w:r>
    </w:p>
    <w:p w:rsidR="00321CFE" w:rsidRPr="00D63249" w:rsidRDefault="00321CFE"/>
    <w:sectPr w:rsidR="00321CFE" w:rsidRPr="00D63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49"/>
    <w:rsid w:val="00321CFE"/>
    <w:rsid w:val="00D6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4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249"/>
    <w:pPr>
      <w:ind w:firstLineChars="200" w:firstLine="420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4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249"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2018-07-13T03:21:00Z</dcterms:created>
  <dcterms:modified xsi:type="dcterms:W3CDTF">2018-07-13T03:22:00Z</dcterms:modified>
</cp:coreProperties>
</file>