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4A6" w:rsidRDefault="003E24A6" w:rsidP="003E24A6">
      <w:pPr>
        <w:rPr>
          <w:rFonts w:ascii="黑体" w:eastAsia="黑体" w:hAnsi="黑体" w:cs="黑体"/>
          <w:sz w:val="32"/>
          <w:szCs w:val="32"/>
        </w:rPr>
      </w:pPr>
      <w:r>
        <w:rPr>
          <w:rFonts w:ascii="黑体" w:eastAsia="黑体" w:hAnsi="黑体" w:cs="黑体" w:hint="eastAsia"/>
          <w:sz w:val="32"/>
          <w:szCs w:val="32"/>
        </w:rPr>
        <w:t>附件2</w:t>
      </w:r>
    </w:p>
    <w:p w:rsidR="003E24A6" w:rsidRDefault="003E24A6" w:rsidP="003E24A6">
      <w:pPr>
        <w:spacing w:line="500" w:lineRule="exact"/>
        <w:jc w:val="center"/>
        <w:rPr>
          <w:rFonts w:ascii="黑体" w:eastAsia="黑体" w:hAnsi="黑体"/>
          <w:sz w:val="38"/>
          <w:szCs w:val="38"/>
        </w:rPr>
      </w:pPr>
    </w:p>
    <w:p w:rsidR="003E24A6" w:rsidRDefault="003E24A6" w:rsidP="003E24A6">
      <w:pPr>
        <w:spacing w:line="500" w:lineRule="exact"/>
        <w:jc w:val="center"/>
        <w:rPr>
          <w:rFonts w:ascii="方正小标宋简体" w:eastAsia="方正小标宋简体" w:hAnsi="方正小标宋简体" w:cs="方正小标宋简体"/>
          <w:bCs/>
          <w:sz w:val="40"/>
          <w:szCs w:val="40"/>
        </w:rPr>
      </w:pPr>
      <w:bookmarkStart w:id="0" w:name="_GoBack"/>
      <w:r>
        <w:rPr>
          <w:rFonts w:ascii="方正小标宋简体" w:eastAsia="方正小标宋简体" w:hAnsi="方正小标宋简体" w:cs="方正小标宋简体" w:hint="eastAsia"/>
          <w:bCs/>
          <w:sz w:val="40"/>
          <w:szCs w:val="40"/>
        </w:rPr>
        <w:t>上海</w:t>
      </w:r>
      <w:proofErr w:type="gramStart"/>
      <w:r>
        <w:rPr>
          <w:rFonts w:ascii="方正小标宋简体" w:eastAsia="方正小标宋简体" w:hAnsi="方正小标宋简体" w:cs="方正小标宋简体" w:hint="eastAsia"/>
          <w:bCs/>
          <w:sz w:val="40"/>
          <w:szCs w:val="40"/>
        </w:rPr>
        <w:t>高校智库内涵</w:t>
      </w:r>
      <w:proofErr w:type="gramEnd"/>
      <w:r>
        <w:rPr>
          <w:rFonts w:ascii="方正小标宋简体" w:eastAsia="方正小标宋简体" w:hAnsi="方正小标宋简体" w:cs="方正小标宋简体" w:hint="eastAsia"/>
          <w:bCs/>
          <w:sz w:val="40"/>
          <w:szCs w:val="40"/>
        </w:rPr>
        <w:t>建设计划实施方案</w:t>
      </w:r>
      <w:bookmarkEnd w:id="0"/>
    </w:p>
    <w:p w:rsidR="003E24A6" w:rsidRDefault="003E24A6" w:rsidP="003E24A6">
      <w:pPr>
        <w:spacing w:line="500" w:lineRule="exact"/>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（2018年）</w:t>
      </w:r>
    </w:p>
    <w:p w:rsidR="003E24A6" w:rsidRDefault="003E24A6" w:rsidP="003E24A6">
      <w:pPr>
        <w:spacing w:line="500" w:lineRule="exact"/>
        <w:rPr>
          <w:rFonts w:ascii="黑体" w:eastAsia="仿宋_GB2312" w:hAnsi="黑体"/>
          <w:sz w:val="38"/>
          <w:szCs w:val="38"/>
        </w:rPr>
      </w:pPr>
    </w:p>
    <w:p w:rsidR="003E24A6" w:rsidRDefault="003E24A6" w:rsidP="003E24A6">
      <w:pPr>
        <w:spacing w:line="500" w:lineRule="exact"/>
        <w:ind w:right="-62" w:firstLineChars="200" w:firstLine="600"/>
        <w:jc w:val="left"/>
        <w:rPr>
          <w:rFonts w:ascii="仿宋" w:eastAsia="仿宋_GB2312" w:hAnsi="仿宋"/>
          <w:sz w:val="30"/>
          <w:szCs w:val="30"/>
        </w:rPr>
      </w:pPr>
      <w:r>
        <w:rPr>
          <w:rFonts w:ascii="仿宋" w:eastAsia="仿宋_GB2312" w:hAnsi="仿宋" w:cs="仿宋_GB2312" w:hint="eastAsia"/>
          <w:sz w:val="30"/>
          <w:szCs w:val="30"/>
        </w:rPr>
        <w:t>为了贯彻落实中央《关于加强中国特色新型智库建设的意见》和教育部《中国特色新型高校智库建设推进计划》《关于实施高等学校创新能力提升计划的意见》的相关精神，推动上海新型</w:t>
      </w:r>
      <w:proofErr w:type="gramStart"/>
      <w:r>
        <w:rPr>
          <w:rFonts w:ascii="仿宋" w:eastAsia="仿宋_GB2312" w:hAnsi="仿宋" w:cs="仿宋_GB2312" w:hint="eastAsia"/>
          <w:sz w:val="30"/>
          <w:szCs w:val="30"/>
        </w:rPr>
        <w:t>高校智库的</w:t>
      </w:r>
      <w:proofErr w:type="gramEnd"/>
      <w:r>
        <w:rPr>
          <w:rFonts w:ascii="仿宋" w:eastAsia="仿宋_GB2312" w:hAnsi="仿宋" w:cs="仿宋_GB2312" w:hint="eastAsia"/>
          <w:sz w:val="30"/>
          <w:szCs w:val="30"/>
        </w:rPr>
        <w:t>建设与发展，进一步提升</w:t>
      </w:r>
      <w:proofErr w:type="gramStart"/>
      <w:r>
        <w:rPr>
          <w:rFonts w:ascii="仿宋" w:eastAsia="仿宋_GB2312" w:hAnsi="仿宋" w:cs="仿宋_GB2312" w:hint="eastAsia"/>
          <w:sz w:val="30"/>
          <w:szCs w:val="30"/>
        </w:rPr>
        <w:t>高校智库的</w:t>
      </w:r>
      <w:proofErr w:type="gramEnd"/>
      <w:r>
        <w:rPr>
          <w:rFonts w:ascii="仿宋" w:eastAsia="仿宋_GB2312" w:hAnsi="仿宋" w:cs="仿宋_GB2312" w:hint="eastAsia"/>
          <w:sz w:val="30"/>
          <w:szCs w:val="30"/>
        </w:rPr>
        <w:t>内涵能力建设，提升核心竞争力，打造上海新型</w:t>
      </w:r>
      <w:proofErr w:type="gramStart"/>
      <w:r>
        <w:rPr>
          <w:rFonts w:ascii="仿宋" w:eastAsia="仿宋_GB2312" w:hAnsi="仿宋" w:cs="仿宋_GB2312" w:hint="eastAsia"/>
          <w:sz w:val="30"/>
          <w:szCs w:val="30"/>
        </w:rPr>
        <w:t>高校智库品牌</w:t>
      </w:r>
      <w:proofErr w:type="gramEnd"/>
      <w:r>
        <w:rPr>
          <w:rFonts w:ascii="仿宋" w:eastAsia="仿宋_GB2312" w:hAnsi="仿宋" w:cs="仿宋_GB2312" w:hint="eastAsia"/>
          <w:sz w:val="30"/>
          <w:szCs w:val="30"/>
        </w:rPr>
        <w:t>，市教卫工作党委、市教委决定实施上海</w:t>
      </w:r>
      <w:proofErr w:type="gramStart"/>
      <w:r>
        <w:rPr>
          <w:rFonts w:ascii="仿宋" w:eastAsia="仿宋_GB2312" w:hAnsi="仿宋" w:cs="仿宋_GB2312" w:hint="eastAsia"/>
          <w:sz w:val="30"/>
          <w:szCs w:val="30"/>
        </w:rPr>
        <w:t>高校智库的</w:t>
      </w:r>
      <w:proofErr w:type="gramEnd"/>
      <w:r>
        <w:rPr>
          <w:rFonts w:ascii="仿宋" w:eastAsia="仿宋_GB2312" w:hAnsi="仿宋" w:cs="仿宋_GB2312" w:hint="eastAsia"/>
          <w:sz w:val="30"/>
          <w:szCs w:val="30"/>
        </w:rPr>
        <w:t>内涵建设计划。</w:t>
      </w:r>
    </w:p>
    <w:p w:rsidR="003E24A6" w:rsidRDefault="003E24A6" w:rsidP="003E24A6">
      <w:pPr>
        <w:spacing w:line="500" w:lineRule="exact"/>
        <w:ind w:right="-62" w:firstLineChars="200" w:firstLine="602"/>
        <w:jc w:val="left"/>
        <w:rPr>
          <w:rFonts w:ascii="黑体" w:eastAsia="黑体" w:hAnsi="仿宋"/>
          <w:b/>
          <w:sz w:val="30"/>
          <w:szCs w:val="30"/>
        </w:rPr>
      </w:pPr>
      <w:r>
        <w:rPr>
          <w:rFonts w:ascii="黑体" w:eastAsia="黑体" w:hAnsi="仿宋" w:cs="仿宋_GB2312" w:hint="eastAsia"/>
          <w:b/>
          <w:sz w:val="30"/>
          <w:szCs w:val="30"/>
        </w:rPr>
        <w:t>一、指导思想</w:t>
      </w:r>
    </w:p>
    <w:p w:rsidR="003E24A6" w:rsidRDefault="003E24A6" w:rsidP="003E24A6">
      <w:pPr>
        <w:spacing w:line="500" w:lineRule="exact"/>
        <w:ind w:right="-62" w:firstLineChars="200" w:firstLine="600"/>
        <w:jc w:val="left"/>
        <w:rPr>
          <w:rFonts w:ascii="仿宋" w:eastAsia="仿宋_GB2312" w:hAnsi="仿宋"/>
          <w:sz w:val="30"/>
          <w:szCs w:val="30"/>
        </w:rPr>
      </w:pPr>
      <w:r>
        <w:rPr>
          <w:rFonts w:ascii="仿宋" w:eastAsia="仿宋_GB2312" w:hAnsi="仿宋" w:cs="仿宋_GB2312" w:hint="eastAsia"/>
          <w:sz w:val="30"/>
          <w:szCs w:val="30"/>
        </w:rPr>
        <w:t>坚持以习近平新时代中国特色社会主义思想为指导，以重大理论和现实问题为主攻方向，坚持理论研究与应用研究并重，</w:t>
      </w:r>
      <w:proofErr w:type="gramStart"/>
      <w:r>
        <w:rPr>
          <w:rFonts w:ascii="仿宋" w:eastAsia="仿宋_GB2312" w:hAnsi="仿宋" w:cs="仿宋_GB2312" w:hint="eastAsia"/>
          <w:sz w:val="30"/>
          <w:szCs w:val="30"/>
        </w:rPr>
        <w:t>聚焦党</w:t>
      </w:r>
      <w:proofErr w:type="gramEnd"/>
      <w:r>
        <w:rPr>
          <w:rFonts w:ascii="仿宋" w:eastAsia="仿宋_GB2312" w:hAnsi="仿宋" w:cs="仿宋_GB2312" w:hint="eastAsia"/>
          <w:sz w:val="30"/>
          <w:szCs w:val="30"/>
        </w:rPr>
        <w:t>的十九大对经济建设、政治建设、文化建设、社会建设、生态文明建设等</w:t>
      </w:r>
      <w:proofErr w:type="gramStart"/>
      <w:r>
        <w:rPr>
          <w:rFonts w:ascii="仿宋" w:eastAsia="仿宋_GB2312" w:hAnsi="仿宋" w:cs="仿宋_GB2312" w:hint="eastAsia"/>
          <w:sz w:val="30"/>
          <w:szCs w:val="30"/>
        </w:rPr>
        <w:t>作出</w:t>
      </w:r>
      <w:proofErr w:type="gramEnd"/>
      <w:r>
        <w:rPr>
          <w:rFonts w:ascii="仿宋" w:eastAsia="仿宋_GB2312" w:hAnsi="仿宋" w:cs="仿宋_GB2312" w:hint="eastAsia"/>
          <w:sz w:val="30"/>
          <w:szCs w:val="30"/>
        </w:rPr>
        <w:t>的新部署，对党的建设提出的新要求，以及国际关系的重大问题，进行高层次的应用对策研究和战略咨询，增强</w:t>
      </w:r>
      <w:proofErr w:type="gramStart"/>
      <w:r>
        <w:rPr>
          <w:rFonts w:ascii="仿宋" w:eastAsia="仿宋_GB2312" w:hAnsi="仿宋" w:cs="仿宋_GB2312" w:hint="eastAsia"/>
          <w:sz w:val="30"/>
          <w:szCs w:val="30"/>
        </w:rPr>
        <w:t>高校智库在</w:t>
      </w:r>
      <w:proofErr w:type="gramEnd"/>
      <w:r>
        <w:rPr>
          <w:rFonts w:ascii="仿宋" w:eastAsia="仿宋_GB2312" w:hAnsi="仿宋" w:cs="仿宋_GB2312" w:hint="eastAsia"/>
          <w:sz w:val="30"/>
          <w:szCs w:val="30"/>
        </w:rPr>
        <w:t>国家和上海发展中的贡献度。</w:t>
      </w:r>
    </w:p>
    <w:p w:rsidR="003E24A6" w:rsidRDefault="003E24A6" w:rsidP="003E24A6">
      <w:pPr>
        <w:spacing w:line="500" w:lineRule="exact"/>
        <w:ind w:right="-62" w:firstLineChars="200" w:firstLine="602"/>
        <w:jc w:val="left"/>
        <w:rPr>
          <w:rFonts w:ascii="黑体" w:eastAsia="黑体" w:hAnsi="仿宋" w:cs="仿宋_GB2312"/>
          <w:b/>
          <w:sz w:val="30"/>
          <w:szCs w:val="30"/>
        </w:rPr>
      </w:pPr>
      <w:r>
        <w:rPr>
          <w:rFonts w:ascii="黑体" w:eastAsia="黑体" w:hAnsi="仿宋" w:cs="仿宋_GB2312" w:hint="eastAsia"/>
          <w:b/>
          <w:sz w:val="30"/>
          <w:szCs w:val="30"/>
        </w:rPr>
        <w:t>二、建设原则</w:t>
      </w:r>
    </w:p>
    <w:p w:rsidR="003E24A6" w:rsidRDefault="003E24A6" w:rsidP="003E24A6">
      <w:pPr>
        <w:spacing w:line="500" w:lineRule="exact"/>
        <w:ind w:right="-62" w:firstLineChars="200" w:firstLine="600"/>
        <w:jc w:val="left"/>
        <w:rPr>
          <w:rFonts w:ascii="仿宋" w:eastAsia="仿宋_GB2312" w:hAnsi="仿宋"/>
          <w:sz w:val="30"/>
          <w:szCs w:val="30"/>
        </w:rPr>
      </w:pPr>
      <w:r>
        <w:rPr>
          <w:rFonts w:ascii="仿宋" w:eastAsia="仿宋_GB2312" w:hAnsi="仿宋" w:cs="仿宋"/>
          <w:sz w:val="30"/>
          <w:szCs w:val="30"/>
        </w:rPr>
        <w:t>1</w:t>
      </w:r>
      <w:r>
        <w:rPr>
          <w:rFonts w:ascii="仿宋" w:eastAsia="仿宋_GB2312" w:hAnsi="仿宋" w:cs="仿宋_GB2312" w:hint="eastAsia"/>
          <w:sz w:val="30"/>
          <w:szCs w:val="30"/>
        </w:rPr>
        <w:t>.</w:t>
      </w:r>
      <w:r>
        <w:rPr>
          <w:rFonts w:ascii="仿宋" w:eastAsia="仿宋_GB2312" w:hAnsi="仿宋" w:cs="仿宋_GB2312" w:hint="eastAsia"/>
          <w:sz w:val="30"/>
          <w:szCs w:val="30"/>
        </w:rPr>
        <w:t>坚持党的领导，把握正确导向。坚持党管高校智库，坚持中国特色社会主义方向，遵守国家宪法法律法规，始终以国家利益为根本出发点。</w:t>
      </w:r>
    </w:p>
    <w:p w:rsidR="003E24A6" w:rsidRDefault="003E24A6" w:rsidP="003E24A6">
      <w:pPr>
        <w:spacing w:line="500" w:lineRule="exact"/>
        <w:ind w:right="-62" w:firstLineChars="200" w:firstLine="600"/>
        <w:jc w:val="left"/>
        <w:rPr>
          <w:rFonts w:ascii="仿宋" w:eastAsia="仿宋_GB2312" w:hAnsi="仿宋"/>
          <w:color w:val="000000"/>
          <w:sz w:val="30"/>
          <w:szCs w:val="30"/>
        </w:rPr>
      </w:pPr>
      <w:r>
        <w:rPr>
          <w:rFonts w:ascii="仿宋" w:eastAsia="仿宋_GB2312" w:hAnsi="仿宋" w:cs="仿宋"/>
          <w:color w:val="000000"/>
          <w:sz w:val="30"/>
          <w:szCs w:val="30"/>
        </w:rPr>
        <w:t>2</w:t>
      </w:r>
      <w:r>
        <w:rPr>
          <w:rFonts w:ascii="仿宋" w:eastAsia="仿宋_GB2312" w:hAnsi="仿宋" w:cs="仿宋_GB2312" w:hint="eastAsia"/>
          <w:color w:val="000000"/>
          <w:sz w:val="30"/>
          <w:szCs w:val="30"/>
        </w:rPr>
        <w:t>.</w:t>
      </w:r>
      <w:r>
        <w:rPr>
          <w:rFonts w:ascii="仿宋" w:eastAsia="仿宋_GB2312" w:hAnsi="仿宋" w:cs="仿宋_GB2312" w:hint="eastAsia"/>
          <w:color w:val="000000"/>
          <w:sz w:val="30"/>
          <w:szCs w:val="30"/>
        </w:rPr>
        <w:t>坚持围绕大局，服务中心工作。紧紧围绕党和政府决策急需的重大课题，开展前瞻性、针对性、储备性政策研究，提出专业化、建设性、切实管用的政策建议，着力提高综合</w:t>
      </w:r>
      <w:proofErr w:type="gramStart"/>
      <w:r>
        <w:rPr>
          <w:rFonts w:ascii="仿宋" w:eastAsia="仿宋_GB2312" w:hAnsi="仿宋" w:cs="仿宋_GB2312" w:hint="eastAsia"/>
          <w:color w:val="000000"/>
          <w:sz w:val="30"/>
          <w:szCs w:val="30"/>
        </w:rPr>
        <w:t>研</w:t>
      </w:r>
      <w:proofErr w:type="gramEnd"/>
      <w:r>
        <w:rPr>
          <w:rFonts w:ascii="仿宋" w:eastAsia="仿宋_GB2312" w:hAnsi="仿宋" w:cs="仿宋_GB2312" w:hint="eastAsia"/>
          <w:color w:val="000000"/>
          <w:sz w:val="30"/>
          <w:szCs w:val="30"/>
        </w:rPr>
        <w:t>判和战略谋划能力。</w:t>
      </w:r>
    </w:p>
    <w:p w:rsidR="003E24A6" w:rsidRDefault="003E24A6" w:rsidP="003E24A6">
      <w:pPr>
        <w:spacing w:line="500" w:lineRule="exact"/>
        <w:ind w:right="-62" w:firstLineChars="200" w:firstLine="600"/>
        <w:jc w:val="left"/>
        <w:rPr>
          <w:rFonts w:ascii="仿宋" w:eastAsia="仿宋_GB2312" w:hAnsi="仿宋" w:cs="仿宋_GB2312"/>
          <w:color w:val="000000"/>
          <w:sz w:val="30"/>
          <w:szCs w:val="30"/>
        </w:rPr>
      </w:pPr>
      <w:r>
        <w:rPr>
          <w:rFonts w:ascii="仿宋" w:eastAsia="仿宋_GB2312" w:hAnsi="仿宋" w:cs="仿宋"/>
          <w:color w:val="000000"/>
          <w:sz w:val="30"/>
          <w:szCs w:val="30"/>
        </w:rPr>
        <w:t>3</w:t>
      </w:r>
      <w:r>
        <w:rPr>
          <w:rFonts w:ascii="仿宋" w:eastAsia="仿宋_GB2312" w:hAnsi="仿宋" w:cs="仿宋_GB2312" w:hint="eastAsia"/>
          <w:color w:val="000000"/>
          <w:sz w:val="30"/>
          <w:szCs w:val="30"/>
        </w:rPr>
        <w:t>.</w:t>
      </w:r>
      <w:r>
        <w:rPr>
          <w:rFonts w:ascii="仿宋" w:eastAsia="仿宋_GB2312" w:hAnsi="仿宋" w:cs="仿宋_GB2312" w:hint="eastAsia"/>
          <w:color w:val="000000"/>
          <w:sz w:val="30"/>
          <w:szCs w:val="30"/>
        </w:rPr>
        <w:t>坚持改革创新，加强规范管理。科学界定各项目的功能定</w:t>
      </w:r>
      <w:r>
        <w:rPr>
          <w:rFonts w:ascii="仿宋" w:eastAsia="仿宋_GB2312" w:hAnsi="仿宋" w:cs="仿宋_GB2312" w:hint="eastAsia"/>
          <w:color w:val="000000"/>
          <w:sz w:val="30"/>
          <w:szCs w:val="30"/>
        </w:rPr>
        <w:lastRenderedPageBreak/>
        <w:t>位，进一步调整</w:t>
      </w:r>
      <w:proofErr w:type="gramStart"/>
      <w:r>
        <w:rPr>
          <w:rFonts w:ascii="仿宋" w:eastAsia="仿宋_GB2312" w:hAnsi="仿宋" w:cs="仿宋_GB2312" w:hint="eastAsia"/>
          <w:color w:val="000000"/>
          <w:sz w:val="30"/>
          <w:szCs w:val="30"/>
        </w:rPr>
        <w:t>优化智库布局</w:t>
      </w:r>
      <w:proofErr w:type="gramEnd"/>
      <w:r>
        <w:rPr>
          <w:rFonts w:ascii="仿宋" w:eastAsia="仿宋_GB2312" w:hAnsi="仿宋" w:cs="仿宋_GB2312" w:hint="eastAsia"/>
          <w:color w:val="000000"/>
          <w:sz w:val="30"/>
          <w:szCs w:val="30"/>
        </w:rPr>
        <w:t>，促进各</w:t>
      </w:r>
      <w:proofErr w:type="gramStart"/>
      <w:r>
        <w:rPr>
          <w:rFonts w:ascii="仿宋" w:eastAsia="仿宋_GB2312" w:hAnsi="仿宋" w:cs="仿宋_GB2312" w:hint="eastAsia"/>
          <w:color w:val="000000"/>
          <w:sz w:val="30"/>
          <w:szCs w:val="30"/>
        </w:rPr>
        <w:t>类智库</w:t>
      </w:r>
      <w:proofErr w:type="gramEnd"/>
      <w:r>
        <w:rPr>
          <w:rFonts w:ascii="仿宋" w:eastAsia="仿宋_GB2312" w:hAnsi="仿宋" w:cs="仿宋_GB2312" w:hint="eastAsia"/>
          <w:color w:val="000000"/>
          <w:sz w:val="30"/>
          <w:szCs w:val="30"/>
        </w:rPr>
        <w:t>有序发展，不断完善高校</w:t>
      </w:r>
      <w:proofErr w:type="gramStart"/>
      <w:r>
        <w:rPr>
          <w:rFonts w:ascii="仿宋" w:eastAsia="仿宋_GB2312" w:hAnsi="仿宋" w:cs="仿宋_GB2312" w:hint="eastAsia"/>
          <w:color w:val="000000"/>
          <w:sz w:val="30"/>
          <w:szCs w:val="30"/>
        </w:rPr>
        <w:t>智库研究</w:t>
      </w:r>
      <w:proofErr w:type="gramEnd"/>
      <w:r>
        <w:rPr>
          <w:rFonts w:ascii="仿宋" w:eastAsia="仿宋_GB2312" w:hAnsi="仿宋" w:cs="仿宋_GB2312" w:hint="eastAsia"/>
          <w:color w:val="000000"/>
          <w:sz w:val="30"/>
          <w:szCs w:val="30"/>
        </w:rPr>
        <w:t>资金管理制度。</w:t>
      </w:r>
    </w:p>
    <w:p w:rsidR="003E24A6" w:rsidRDefault="003E24A6" w:rsidP="003E24A6">
      <w:pPr>
        <w:spacing w:line="500" w:lineRule="exact"/>
        <w:ind w:right="-62" w:firstLineChars="200" w:firstLine="602"/>
        <w:jc w:val="left"/>
        <w:rPr>
          <w:rFonts w:ascii="黑体" w:eastAsia="黑体" w:hAnsi="仿宋" w:cs="仿宋_GB2312"/>
          <w:b/>
          <w:sz w:val="30"/>
          <w:szCs w:val="30"/>
        </w:rPr>
      </w:pPr>
      <w:r>
        <w:rPr>
          <w:rFonts w:ascii="黑体" w:eastAsia="黑体" w:hAnsi="仿宋" w:cs="仿宋_GB2312" w:hint="eastAsia"/>
          <w:b/>
          <w:sz w:val="30"/>
          <w:szCs w:val="30"/>
        </w:rPr>
        <w:t>三、建设目标</w:t>
      </w:r>
    </w:p>
    <w:p w:rsidR="003E24A6" w:rsidRDefault="003E24A6" w:rsidP="003E24A6">
      <w:pPr>
        <w:spacing w:line="500" w:lineRule="exact"/>
        <w:ind w:right="-62" w:firstLineChars="200" w:firstLine="600"/>
        <w:jc w:val="left"/>
        <w:rPr>
          <w:rFonts w:ascii="仿宋" w:eastAsia="仿宋_GB2312" w:hAnsi="仿宋"/>
          <w:color w:val="000000"/>
          <w:sz w:val="30"/>
          <w:szCs w:val="30"/>
        </w:rPr>
      </w:pPr>
      <w:r>
        <w:rPr>
          <w:rFonts w:ascii="仿宋" w:eastAsia="仿宋_GB2312" w:hAnsi="仿宋" w:cs="仿宋_GB2312" w:hint="eastAsia"/>
          <w:color w:val="000000"/>
          <w:sz w:val="30"/>
          <w:szCs w:val="30"/>
        </w:rPr>
        <w:t>通过上海</w:t>
      </w:r>
      <w:proofErr w:type="gramStart"/>
      <w:r>
        <w:rPr>
          <w:rFonts w:ascii="仿宋" w:eastAsia="仿宋_GB2312" w:hAnsi="仿宋" w:cs="仿宋_GB2312" w:hint="eastAsia"/>
          <w:color w:val="000000"/>
          <w:sz w:val="30"/>
          <w:szCs w:val="30"/>
        </w:rPr>
        <w:t>高校智库内涵</w:t>
      </w:r>
      <w:proofErr w:type="gramEnd"/>
      <w:r>
        <w:rPr>
          <w:rFonts w:ascii="仿宋" w:eastAsia="仿宋_GB2312" w:hAnsi="仿宋" w:cs="仿宋_GB2312" w:hint="eastAsia"/>
          <w:color w:val="000000"/>
          <w:sz w:val="30"/>
          <w:szCs w:val="30"/>
        </w:rPr>
        <w:t>建设计划，打造一批立足上海、服务全国、具有国际影响力的新型高校智库，使上海高校</w:t>
      </w:r>
      <w:proofErr w:type="gramStart"/>
      <w:r>
        <w:rPr>
          <w:rFonts w:ascii="仿宋" w:eastAsia="仿宋_GB2312" w:hAnsi="仿宋" w:cs="仿宋_GB2312" w:hint="eastAsia"/>
          <w:color w:val="000000"/>
          <w:sz w:val="30"/>
          <w:szCs w:val="30"/>
        </w:rPr>
        <w:t>智库成为</w:t>
      </w:r>
      <w:proofErr w:type="gramEnd"/>
      <w:r>
        <w:rPr>
          <w:rFonts w:ascii="仿宋" w:eastAsia="仿宋_GB2312" w:hAnsi="仿宋" w:cs="仿宋_GB2312" w:hint="eastAsia"/>
          <w:color w:val="000000"/>
          <w:sz w:val="30"/>
          <w:szCs w:val="30"/>
        </w:rPr>
        <w:t>开展决策咨询的重要机构、探索高校科研改革的重要组成部分、培养决策咨询人才以及引领公共舆论和支撑公共外交的重要基地。</w:t>
      </w:r>
    </w:p>
    <w:p w:rsidR="003E24A6" w:rsidRDefault="003E24A6" w:rsidP="003E24A6">
      <w:pPr>
        <w:spacing w:line="500" w:lineRule="exact"/>
        <w:ind w:right="-62" w:firstLineChars="200" w:firstLine="602"/>
        <w:jc w:val="left"/>
        <w:rPr>
          <w:rFonts w:ascii="黑体" w:eastAsia="黑体" w:hAnsi="仿宋" w:cs="仿宋_GB2312"/>
          <w:b/>
          <w:sz w:val="30"/>
          <w:szCs w:val="30"/>
        </w:rPr>
      </w:pPr>
      <w:r>
        <w:rPr>
          <w:rFonts w:ascii="黑体" w:eastAsia="黑体" w:hAnsi="仿宋" w:cs="仿宋_GB2312" w:hint="eastAsia"/>
          <w:b/>
          <w:sz w:val="30"/>
          <w:szCs w:val="30"/>
        </w:rPr>
        <w:t>四、内涵建设计划任务</w:t>
      </w:r>
    </w:p>
    <w:p w:rsidR="003E24A6" w:rsidRDefault="003E24A6" w:rsidP="003E24A6">
      <w:pPr>
        <w:spacing w:line="500" w:lineRule="exact"/>
        <w:ind w:right="-62" w:firstLineChars="200" w:firstLine="602"/>
        <w:jc w:val="left"/>
        <w:rPr>
          <w:rFonts w:ascii="黑体" w:eastAsia="仿宋_GB2312" w:hAnsi="黑体" w:cs="仿宋_GB2312"/>
          <w:b/>
          <w:sz w:val="30"/>
          <w:szCs w:val="30"/>
        </w:rPr>
      </w:pPr>
      <w:r>
        <w:rPr>
          <w:rFonts w:ascii="黑体" w:eastAsia="仿宋_GB2312" w:hAnsi="黑体" w:cs="仿宋_GB2312" w:hint="eastAsia"/>
          <w:b/>
          <w:sz w:val="30"/>
          <w:szCs w:val="30"/>
        </w:rPr>
        <w:t>（一）战略研究项目</w:t>
      </w:r>
    </w:p>
    <w:p w:rsidR="003E24A6" w:rsidRDefault="003E24A6" w:rsidP="003E24A6">
      <w:pPr>
        <w:spacing w:line="500" w:lineRule="exact"/>
        <w:ind w:right="-62" w:firstLineChars="200" w:firstLine="600"/>
        <w:jc w:val="left"/>
        <w:rPr>
          <w:rFonts w:ascii="黑体" w:eastAsia="仿宋_GB2312" w:hAnsi="黑体" w:cs="仿宋_GB2312"/>
          <w:color w:val="000000"/>
          <w:sz w:val="30"/>
          <w:szCs w:val="30"/>
        </w:rPr>
      </w:pPr>
      <w:r>
        <w:rPr>
          <w:rFonts w:ascii="黑体" w:eastAsia="仿宋_GB2312" w:hAnsi="黑体" w:cs="仿宋_GB2312" w:hint="eastAsia"/>
          <w:color w:val="000000"/>
          <w:sz w:val="30"/>
          <w:szCs w:val="30"/>
        </w:rPr>
        <w:t>鼓励高校研究团队，围绕特定领域的全局性、战略性、前瞻性问题开展研究，及时向党和政府各相关部门，以及重要行业提供强有力的决策咨询服务，进一步扩大上海</w:t>
      </w:r>
      <w:proofErr w:type="gramStart"/>
      <w:r>
        <w:rPr>
          <w:rFonts w:ascii="黑体" w:eastAsia="仿宋_GB2312" w:hAnsi="黑体" w:cs="仿宋_GB2312" w:hint="eastAsia"/>
          <w:color w:val="000000"/>
          <w:sz w:val="30"/>
          <w:szCs w:val="30"/>
        </w:rPr>
        <w:t>高校智库的</w:t>
      </w:r>
      <w:proofErr w:type="gramEnd"/>
      <w:r>
        <w:rPr>
          <w:rFonts w:ascii="黑体" w:eastAsia="仿宋_GB2312" w:hAnsi="黑体" w:cs="仿宋_GB2312" w:hint="eastAsia"/>
          <w:color w:val="000000"/>
          <w:sz w:val="30"/>
          <w:szCs w:val="30"/>
        </w:rPr>
        <w:t>决策咨询能力和影响力。</w:t>
      </w:r>
    </w:p>
    <w:p w:rsidR="003E24A6" w:rsidRDefault="003E24A6" w:rsidP="003E24A6">
      <w:pPr>
        <w:spacing w:line="500" w:lineRule="exact"/>
        <w:ind w:right="-62" w:firstLineChars="200" w:firstLine="600"/>
        <w:jc w:val="left"/>
        <w:rPr>
          <w:rFonts w:ascii="黑体" w:eastAsia="仿宋_GB2312" w:hAnsi="黑体" w:cs="仿宋_GB2312"/>
          <w:color w:val="000000"/>
          <w:sz w:val="30"/>
          <w:szCs w:val="30"/>
        </w:rPr>
      </w:pPr>
      <w:r>
        <w:rPr>
          <w:rFonts w:ascii="黑体" w:eastAsia="仿宋_GB2312" w:hAnsi="黑体" w:cs="仿宋_GB2312" w:hint="eastAsia"/>
          <w:color w:val="000000"/>
          <w:sz w:val="30"/>
          <w:szCs w:val="30"/>
        </w:rPr>
        <w:t>项目研究团队负责人须由</w:t>
      </w:r>
      <w:proofErr w:type="gramStart"/>
      <w:r>
        <w:rPr>
          <w:rFonts w:ascii="黑体" w:eastAsia="仿宋_GB2312" w:hAnsi="黑体" w:cs="仿宋_GB2312" w:hint="eastAsia"/>
          <w:color w:val="000000"/>
          <w:sz w:val="30"/>
          <w:szCs w:val="30"/>
        </w:rPr>
        <w:t>智库成员</w:t>
      </w:r>
      <w:proofErr w:type="gramEnd"/>
      <w:r>
        <w:rPr>
          <w:rFonts w:ascii="黑体" w:eastAsia="仿宋_GB2312" w:hAnsi="黑体" w:cs="仿宋_GB2312" w:hint="eastAsia"/>
          <w:color w:val="000000"/>
          <w:sz w:val="30"/>
          <w:szCs w:val="30"/>
        </w:rPr>
        <w:t>担任，项目组成员可以包括</w:t>
      </w:r>
      <w:proofErr w:type="gramStart"/>
      <w:r>
        <w:rPr>
          <w:rFonts w:ascii="黑体" w:eastAsia="仿宋_GB2312" w:hAnsi="黑体" w:cs="仿宋_GB2312" w:hint="eastAsia"/>
          <w:color w:val="000000"/>
          <w:sz w:val="30"/>
          <w:szCs w:val="30"/>
        </w:rPr>
        <w:t>智库成员和非智库</w:t>
      </w:r>
      <w:proofErr w:type="gramEnd"/>
      <w:r>
        <w:rPr>
          <w:rFonts w:ascii="黑体" w:eastAsia="仿宋_GB2312" w:hAnsi="黑体" w:cs="仿宋_GB2312" w:hint="eastAsia"/>
          <w:color w:val="000000"/>
          <w:sz w:val="30"/>
          <w:szCs w:val="30"/>
        </w:rPr>
        <w:t>成员，鼓励各方人员积极参与决策咨询研究。研究项目要明确研究特点、报送对象等。成果应包括决策咨询专报和研究报告等。每个项目组提交</w:t>
      </w:r>
      <w:r>
        <w:rPr>
          <w:rFonts w:ascii="黑体" w:eastAsia="仿宋_GB2312" w:hAnsi="黑体" w:cs="仿宋_GB2312" w:hint="eastAsia"/>
          <w:b/>
          <w:color w:val="000000"/>
          <w:sz w:val="30"/>
          <w:szCs w:val="30"/>
        </w:rPr>
        <w:t>5</w:t>
      </w:r>
      <w:r>
        <w:rPr>
          <w:rFonts w:ascii="黑体" w:eastAsia="仿宋_GB2312" w:hAnsi="黑体" w:cs="仿宋_GB2312" w:hint="eastAsia"/>
          <w:b/>
          <w:color w:val="000000"/>
          <w:sz w:val="30"/>
          <w:szCs w:val="30"/>
        </w:rPr>
        <w:t>份以上</w:t>
      </w:r>
      <w:r>
        <w:rPr>
          <w:rFonts w:ascii="黑体" w:eastAsia="仿宋_GB2312" w:hAnsi="黑体" w:cs="仿宋_GB2312" w:hint="eastAsia"/>
          <w:color w:val="000000"/>
          <w:sz w:val="30"/>
          <w:szCs w:val="30"/>
        </w:rPr>
        <w:t>决策咨询专报，同时积极承接与项目相关的约稿任务。研究报告如需公开出版，需征得市教卫工作党委、市教委同意。</w:t>
      </w:r>
    </w:p>
    <w:p w:rsidR="003E24A6" w:rsidRDefault="003E24A6" w:rsidP="003E24A6">
      <w:pPr>
        <w:spacing w:line="500" w:lineRule="exact"/>
        <w:ind w:right="-62" w:firstLineChars="200" w:firstLine="600"/>
        <w:jc w:val="left"/>
        <w:rPr>
          <w:rFonts w:ascii="黑体" w:eastAsia="仿宋_GB2312" w:hAnsi="黑体" w:cs="仿宋_GB2312"/>
          <w:color w:val="000000"/>
          <w:sz w:val="30"/>
          <w:szCs w:val="30"/>
        </w:rPr>
      </w:pPr>
      <w:r>
        <w:rPr>
          <w:rFonts w:ascii="黑体" w:eastAsia="仿宋_GB2312" w:hAnsi="黑体" w:cs="仿宋_GB2312" w:hint="eastAsia"/>
          <w:color w:val="000000"/>
          <w:sz w:val="30"/>
          <w:szCs w:val="30"/>
        </w:rPr>
        <w:t>每家机构限制报</w:t>
      </w:r>
      <w:r>
        <w:rPr>
          <w:rFonts w:ascii="黑体" w:eastAsia="仿宋_GB2312" w:hAnsi="黑体" w:cs="仿宋_GB2312" w:hint="eastAsia"/>
          <w:color w:val="000000"/>
          <w:sz w:val="30"/>
          <w:szCs w:val="30"/>
        </w:rPr>
        <w:t>2</w:t>
      </w:r>
      <w:r>
        <w:rPr>
          <w:rFonts w:ascii="黑体" w:eastAsia="仿宋_GB2312" w:hAnsi="黑体" w:cs="仿宋_GB2312" w:hint="eastAsia"/>
          <w:color w:val="000000"/>
          <w:sz w:val="30"/>
          <w:szCs w:val="30"/>
        </w:rPr>
        <w:t>项战略研究项目，单个战略研究项目的建设经费不超过</w:t>
      </w:r>
      <w:r>
        <w:rPr>
          <w:rFonts w:ascii="黑体" w:eastAsia="仿宋_GB2312" w:hAnsi="黑体" w:cs="仿宋_GB2312" w:hint="eastAsia"/>
          <w:color w:val="000000"/>
          <w:sz w:val="30"/>
          <w:szCs w:val="30"/>
        </w:rPr>
        <w:t>15</w:t>
      </w:r>
      <w:r>
        <w:rPr>
          <w:rFonts w:ascii="黑体" w:eastAsia="仿宋_GB2312" w:hAnsi="黑体" w:cs="仿宋_GB2312" w:hint="eastAsia"/>
          <w:color w:val="000000"/>
          <w:sz w:val="30"/>
          <w:szCs w:val="30"/>
        </w:rPr>
        <w:t>万元</w:t>
      </w:r>
      <w:r>
        <w:rPr>
          <w:rFonts w:ascii="黑体" w:eastAsia="仿宋_GB2312" w:hAnsi="黑体" w:cs="仿宋_GB2312" w:hint="eastAsia"/>
          <w:color w:val="000000"/>
          <w:sz w:val="30"/>
          <w:szCs w:val="30"/>
        </w:rPr>
        <w:t>/</w:t>
      </w:r>
      <w:r>
        <w:rPr>
          <w:rFonts w:ascii="黑体" w:eastAsia="仿宋_GB2312" w:hAnsi="黑体" w:cs="仿宋_GB2312" w:hint="eastAsia"/>
          <w:color w:val="000000"/>
          <w:sz w:val="30"/>
          <w:szCs w:val="30"/>
        </w:rPr>
        <w:t>年</w:t>
      </w:r>
      <w:r>
        <w:rPr>
          <w:rFonts w:ascii="仿宋_GB2312" w:eastAsia="仿宋_GB2312" w:hint="eastAsia"/>
          <w:color w:val="000000"/>
          <w:sz w:val="30"/>
          <w:szCs w:val="30"/>
        </w:rPr>
        <w:t>（具体以财评审定金额为准）</w:t>
      </w:r>
      <w:r>
        <w:rPr>
          <w:rFonts w:ascii="黑体" w:eastAsia="仿宋_GB2312" w:hAnsi="黑体" w:cs="仿宋_GB2312" w:hint="eastAsia"/>
          <w:color w:val="000000"/>
          <w:sz w:val="30"/>
          <w:szCs w:val="30"/>
        </w:rPr>
        <w:t>。已有其他资金立项资助的项目不得重复申报。</w:t>
      </w:r>
    </w:p>
    <w:p w:rsidR="003E24A6" w:rsidRDefault="003E24A6" w:rsidP="003E24A6">
      <w:pPr>
        <w:spacing w:line="500" w:lineRule="exact"/>
        <w:ind w:right="-62" w:firstLineChars="200" w:firstLine="602"/>
        <w:jc w:val="left"/>
        <w:rPr>
          <w:rFonts w:ascii="仿宋" w:eastAsia="仿宋_GB2312" w:hAnsi="仿宋" w:cs="仿宋_GB2312"/>
          <w:b/>
          <w:color w:val="000000"/>
          <w:sz w:val="30"/>
          <w:szCs w:val="30"/>
        </w:rPr>
      </w:pPr>
      <w:r>
        <w:rPr>
          <w:rFonts w:ascii="黑体" w:eastAsia="仿宋_GB2312" w:hAnsi="黑体" w:cs="仿宋_GB2312" w:hint="eastAsia"/>
          <w:b/>
          <w:sz w:val="30"/>
          <w:szCs w:val="30"/>
        </w:rPr>
        <w:t>（二）</w:t>
      </w:r>
      <w:r>
        <w:rPr>
          <w:rFonts w:ascii="仿宋" w:eastAsia="仿宋_GB2312" w:hAnsi="仿宋" w:cs="仿宋_GB2312" w:hint="eastAsia"/>
          <w:b/>
          <w:color w:val="000000"/>
          <w:sz w:val="30"/>
          <w:szCs w:val="30"/>
        </w:rPr>
        <w:t>系列学术论坛</w:t>
      </w:r>
    </w:p>
    <w:p w:rsidR="003E24A6" w:rsidRDefault="003E24A6" w:rsidP="003E24A6">
      <w:pPr>
        <w:spacing w:line="500" w:lineRule="exact"/>
        <w:ind w:right="-62" w:firstLineChars="200" w:firstLine="600"/>
        <w:jc w:val="left"/>
        <w:rPr>
          <w:rFonts w:ascii="仿宋" w:eastAsia="仿宋_GB2312" w:hAnsi="仿宋" w:cs="仿宋_GB2312"/>
          <w:color w:val="000000"/>
          <w:sz w:val="30"/>
          <w:szCs w:val="30"/>
        </w:rPr>
      </w:pPr>
      <w:r>
        <w:rPr>
          <w:rFonts w:ascii="仿宋" w:eastAsia="仿宋_GB2312" w:hAnsi="仿宋" w:cs="仿宋_GB2312" w:hint="eastAsia"/>
          <w:color w:val="000000"/>
          <w:sz w:val="30"/>
          <w:szCs w:val="30"/>
        </w:rPr>
        <w:t>鼓励高校</w:t>
      </w:r>
      <w:proofErr w:type="gramStart"/>
      <w:r>
        <w:rPr>
          <w:rFonts w:ascii="仿宋" w:eastAsia="仿宋_GB2312" w:hAnsi="仿宋" w:cs="仿宋_GB2312" w:hint="eastAsia"/>
          <w:color w:val="000000"/>
          <w:sz w:val="30"/>
          <w:szCs w:val="30"/>
        </w:rPr>
        <w:t>智库结合</w:t>
      </w:r>
      <w:proofErr w:type="gramEnd"/>
      <w:r>
        <w:rPr>
          <w:rFonts w:ascii="仿宋" w:eastAsia="仿宋_GB2312" w:hAnsi="仿宋" w:cs="仿宋_GB2312" w:hint="eastAsia"/>
          <w:color w:val="000000"/>
          <w:sz w:val="30"/>
          <w:szCs w:val="30"/>
        </w:rPr>
        <w:t>自身研究领域和专长，聚焦国家和上海面临的重大问题，精心策划和举办系列学术论坛，产生解决问题的新思想、新思路和新方案。由上海高校智库管理中心围绕重大选题和重要时间节点举办大型论坛时，各机构应积极参与或者轮流</w:t>
      </w:r>
      <w:r>
        <w:rPr>
          <w:rFonts w:ascii="仿宋" w:eastAsia="仿宋_GB2312" w:hAnsi="仿宋" w:cs="仿宋_GB2312" w:hint="eastAsia"/>
          <w:color w:val="000000"/>
          <w:sz w:val="30"/>
          <w:szCs w:val="30"/>
        </w:rPr>
        <w:lastRenderedPageBreak/>
        <w:t>承办。“系列学术论坛”在项目周期内需举办</w:t>
      </w:r>
      <w:r>
        <w:rPr>
          <w:rFonts w:ascii="仿宋" w:eastAsia="仿宋_GB2312" w:hAnsi="仿宋" w:cs="仿宋_GB2312" w:hint="eastAsia"/>
          <w:b/>
          <w:color w:val="000000"/>
          <w:sz w:val="30"/>
          <w:szCs w:val="30"/>
        </w:rPr>
        <w:t>3</w:t>
      </w:r>
      <w:r>
        <w:rPr>
          <w:rFonts w:ascii="仿宋" w:eastAsia="仿宋_GB2312" w:hAnsi="仿宋" w:cs="仿宋_GB2312" w:hint="eastAsia"/>
          <w:b/>
          <w:color w:val="000000"/>
          <w:sz w:val="30"/>
          <w:szCs w:val="30"/>
        </w:rPr>
        <w:t>次左右</w:t>
      </w:r>
      <w:r>
        <w:rPr>
          <w:rFonts w:ascii="仿宋" w:eastAsia="仿宋_GB2312" w:hAnsi="仿宋" w:cs="仿宋_GB2312" w:hint="eastAsia"/>
          <w:color w:val="000000"/>
          <w:sz w:val="30"/>
          <w:szCs w:val="30"/>
        </w:rPr>
        <w:t>，邀请领域内知名专家参与讨论，并形成综合性</w:t>
      </w:r>
      <w:proofErr w:type="gramStart"/>
      <w:r>
        <w:rPr>
          <w:rFonts w:ascii="仿宋" w:eastAsia="仿宋_GB2312" w:hAnsi="仿宋" w:cs="仿宋_GB2312" w:hint="eastAsia"/>
          <w:color w:val="000000"/>
          <w:sz w:val="30"/>
          <w:szCs w:val="30"/>
        </w:rPr>
        <w:t>研</w:t>
      </w:r>
      <w:proofErr w:type="gramEnd"/>
      <w:r>
        <w:rPr>
          <w:rFonts w:ascii="仿宋" w:eastAsia="仿宋_GB2312" w:hAnsi="仿宋" w:cs="仿宋_GB2312" w:hint="eastAsia"/>
          <w:color w:val="000000"/>
          <w:sz w:val="30"/>
          <w:szCs w:val="30"/>
        </w:rPr>
        <w:t>判成果，</w:t>
      </w:r>
      <w:r>
        <w:rPr>
          <w:rFonts w:ascii="黑体" w:eastAsia="仿宋_GB2312" w:hAnsi="黑体" w:cs="仿宋_GB2312" w:hint="eastAsia"/>
          <w:color w:val="000000"/>
          <w:sz w:val="30"/>
          <w:szCs w:val="30"/>
        </w:rPr>
        <w:t>提交</w:t>
      </w:r>
      <w:r>
        <w:rPr>
          <w:rFonts w:ascii="黑体" w:eastAsia="仿宋_GB2312" w:hAnsi="黑体" w:cs="仿宋_GB2312" w:hint="eastAsia"/>
          <w:b/>
          <w:color w:val="000000"/>
          <w:sz w:val="30"/>
          <w:szCs w:val="30"/>
        </w:rPr>
        <w:t>3</w:t>
      </w:r>
      <w:r>
        <w:rPr>
          <w:rFonts w:ascii="黑体" w:eastAsia="仿宋_GB2312" w:hAnsi="黑体" w:cs="仿宋_GB2312" w:hint="eastAsia"/>
          <w:b/>
          <w:color w:val="000000"/>
          <w:sz w:val="30"/>
          <w:szCs w:val="30"/>
        </w:rPr>
        <w:t>份以上</w:t>
      </w:r>
      <w:r>
        <w:rPr>
          <w:rFonts w:ascii="黑体" w:eastAsia="仿宋_GB2312" w:hAnsi="黑体" w:cs="仿宋_GB2312" w:hint="eastAsia"/>
          <w:color w:val="000000"/>
          <w:sz w:val="30"/>
          <w:szCs w:val="30"/>
        </w:rPr>
        <w:t>决策咨询专报</w:t>
      </w:r>
      <w:r>
        <w:rPr>
          <w:rFonts w:ascii="仿宋" w:eastAsia="仿宋_GB2312" w:hAnsi="仿宋" w:cs="仿宋_GB2312" w:hint="eastAsia"/>
          <w:color w:val="000000"/>
          <w:sz w:val="30"/>
          <w:szCs w:val="30"/>
        </w:rPr>
        <w:t>。</w:t>
      </w:r>
    </w:p>
    <w:p w:rsidR="003E24A6" w:rsidRDefault="003E24A6" w:rsidP="003E24A6">
      <w:pPr>
        <w:spacing w:line="500" w:lineRule="exact"/>
        <w:ind w:right="-62" w:firstLineChars="200" w:firstLine="600"/>
        <w:jc w:val="left"/>
        <w:rPr>
          <w:rFonts w:ascii="仿宋" w:eastAsia="仿宋_GB2312" w:hAnsi="仿宋" w:cs="仿宋_GB2312"/>
          <w:color w:val="000000"/>
          <w:sz w:val="30"/>
          <w:szCs w:val="30"/>
        </w:rPr>
      </w:pPr>
      <w:r>
        <w:rPr>
          <w:rFonts w:ascii="仿宋" w:eastAsia="仿宋_GB2312" w:hAnsi="仿宋" w:cs="仿宋_GB2312" w:hint="eastAsia"/>
          <w:color w:val="000000"/>
          <w:sz w:val="30"/>
          <w:szCs w:val="30"/>
        </w:rPr>
        <w:t>申报系列论坛需有前期基础，至少举办过</w:t>
      </w:r>
      <w:r>
        <w:rPr>
          <w:rFonts w:ascii="仿宋" w:eastAsia="仿宋_GB2312" w:hAnsi="仿宋" w:cs="仿宋_GB2312" w:hint="eastAsia"/>
          <w:color w:val="000000"/>
          <w:sz w:val="30"/>
          <w:szCs w:val="30"/>
        </w:rPr>
        <w:t>1</w:t>
      </w:r>
      <w:r>
        <w:rPr>
          <w:rFonts w:ascii="仿宋" w:eastAsia="仿宋_GB2312" w:hAnsi="仿宋" w:cs="仿宋_GB2312" w:hint="eastAsia"/>
          <w:color w:val="000000"/>
          <w:sz w:val="30"/>
          <w:szCs w:val="30"/>
        </w:rPr>
        <w:t>次类似论坛。每家机构限申报</w:t>
      </w:r>
      <w:r>
        <w:rPr>
          <w:rFonts w:ascii="仿宋" w:eastAsia="仿宋_GB2312" w:hAnsi="仿宋" w:cs="仿宋_GB2312" w:hint="eastAsia"/>
          <w:b/>
          <w:bCs/>
          <w:color w:val="000000"/>
          <w:sz w:val="30"/>
          <w:szCs w:val="30"/>
        </w:rPr>
        <w:t>2</w:t>
      </w:r>
      <w:r>
        <w:rPr>
          <w:rFonts w:ascii="仿宋" w:eastAsia="仿宋_GB2312" w:hAnsi="仿宋" w:cs="仿宋_GB2312" w:hint="eastAsia"/>
          <w:color w:val="000000"/>
          <w:sz w:val="30"/>
          <w:szCs w:val="30"/>
        </w:rPr>
        <w:t>项，每项资助金额不超过</w:t>
      </w:r>
      <w:r>
        <w:rPr>
          <w:rFonts w:ascii="仿宋" w:eastAsia="仿宋_GB2312" w:hAnsi="仿宋" w:cs="仿宋_GB2312"/>
          <w:color w:val="000000"/>
          <w:sz w:val="30"/>
          <w:szCs w:val="30"/>
        </w:rPr>
        <w:t>20</w:t>
      </w:r>
      <w:r>
        <w:rPr>
          <w:rFonts w:ascii="仿宋" w:eastAsia="仿宋_GB2312" w:hAnsi="仿宋" w:cs="仿宋_GB2312" w:hint="eastAsia"/>
          <w:color w:val="000000"/>
          <w:sz w:val="30"/>
          <w:szCs w:val="30"/>
        </w:rPr>
        <w:t>万元</w:t>
      </w:r>
      <w:r>
        <w:rPr>
          <w:rFonts w:ascii="仿宋_GB2312" w:eastAsia="仿宋_GB2312" w:hint="eastAsia"/>
          <w:color w:val="000000"/>
          <w:sz w:val="30"/>
          <w:szCs w:val="30"/>
        </w:rPr>
        <w:t>（具体以财评审定金额为准）</w:t>
      </w:r>
      <w:r>
        <w:rPr>
          <w:rFonts w:ascii="仿宋" w:eastAsia="仿宋_GB2312" w:hAnsi="仿宋" w:cs="仿宋_GB2312" w:hint="eastAsia"/>
          <w:color w:val="000000"/>
          <w:sz w:val="30"/>
          <w:szCs w:val="30"/>
        </w:rPr>
        <w:t>。</w:t>
      </w:r>
    </w:p>
    <w:p w:rsidR="003E24A6" w:rsidRDefault="003E24A6" w:rsidP="003E24A6">
      <w:pPr>
        <w:spacing w:line="500" w:lineRule="exact"/>
        <w:ind w:right="-62" w:firstLineChars="200" w:firstLine="600"/>
        <w:jc w:val="left"/>
        <w:rPr>
          <w:rFonts w:ascii="仿宋" w:eastAsia="仿宋_GB2312" w:hAnsi="仿宋" w:cs="仿宋_GB2312"/>
          <w:color w:val="000000"/>
          <w:sz w:val="30"/>
          <w:szCs w:val="30"/>
        </w:rPr>
      </w:pPr>
      <w:r>
        <w:rPr>
          <w:rFonts w:ascii="仿宋" w:eastAsia="仿宋_GB2312" w:hAnsi="仿宋" w:cs="仿宋_GB2312" w:hint="eastAsia"/>
          <w:color w:val="000000"/>
          <w:sz w:val="30"/>
          <w:szCs w:val="30"/>
        </w:rPr>
        <w:t>以上受资助的所有专报和活动要标明“上海高校智库”的字样，相关材料需妥善保存，</w:t>
      </w:r>
      <w:proofErr w:type="gramStart"/>
      <w:r>
        <w:rPr>
          <w:rFonts w:ascii="仿宋" w:eastAsia="仿宋_GB2312" w:hAnsi="仿宋" w:cs="仿宋_GB2312" w:hint="eastAsia"/>
          <w:color w:val="000000"/>
          <w:sz w:val="30"/>
          <w:szCs w:val="30"/>
        </w:rPr>
        <w:t>在结项验收</w:t>
      </w:r>
      <w:proofErr w:type="gramEnd"/>
      <w:r>
        <w:rPr>
          <w:rFonts w:ascii="仿宋" w:eastAsia="仿宋_GB2312" w:hAnsi="仿宋" w:cs="仿宋_GB2312" w:hint="eastAsia"/>
          <w:color w:val="000000"/>
          <w:sz w:val="30"/>
          <w:szCs w:val="30"/>
        </w:rPr>
        <w:t>时一并提交。在成果报送上，鼓励广辟渠道，多途径</w:t>
      </w:r>
      <w:proofErr w:type="gramStart"/>
      <w:r>
        <w:rPr>
          <w:rFonts w:ascii="仿宋" w:eastAsia="仿宋_GB2312" w:hAnsi="仿宋" w:cs="仿宋_GB2312" w:hint="eastAsia"/>
          <w:color w:val="000000"/>
          <w:sz w:val="30"/>
          <w:szCs w:val="30"/>
        </w:rPr>
        <w:t>报送智库成果</w:t>
      </w:r>
      <w:proofErr w:type="gramEnd"/>
      <w:r>
        <w:rPr>
          <w:rFonts w:ascii="仿宋" w:eastAsia="仿宋_GB2312" w:hAnsi="仿宋" w:cs="仿宋_GB2312" w:hint="eastAsia"/>
          <w:color w:val="000000"/>
          <w:sz w:val="30"/>
          <w:szCs w:val="30"/>
        </w:rPr>
        <w:t>，特别是要及时主动</w:t>
      </w:r>
      <w:proofErr w:type="gramStart"/>
      <w:r>
        <w:rPr>
          <w:rFonts w:ascii="仿宋" w:eastAsia="仿宋_GB2312" w:hAnsi="仿宋" w:cs="仿宋_GB2312" w:hint="eastAsia"/>
          <w:color w:val="000000"/>
          <w:sz w:val="30"/>
          <w:szCs w:val="30"/>
        </w:rPr>
        <w:t>对接党</w:t>
      </w:r>
      <w:proofErr w:type="gramEnd"/>
      <w:r>
        <w:rPr>
          <w:rFonts w:ascii="仿宋" w:eastAsia="仿宋_GB2312" w:hAnsi="仿宋" w:cs="仿宋_GB2312" w:hint="eastAsia"/>
          <w:color w:val="000000"/>
          <w:sz w:val="30"/>
          <w:szCs w:val="30"/>
        </w:rPr>
        <w:t>和政府的信息主渠道部门，用好市教卫工作党委直报点等内参通道，提升服务决策时效性。同时积极扩大各类活动的社会影响；与新闻媒体进行合作，积极对各类活动的动态和观点进行报道和宣传。</w:t>
      </w:r>
    </w:p>
    <w:p w:rsidR="00321CFE" w:rsidRPr="003E24A6" w:rsidRDefault="003E24A6" w:rsidP="003E24A6">
      <w:pPr>
        <w:spacing w:line="500" w:lineRule="exact"/>
        <w:ind w:right="-62" w:firstLineChars="200" w:firstLine="600"/>
        <w:jc w:val="left"/>
        <w:rPr>
          <w:rFonts w:ascii="仿宋" w:eastAsia="仿宋_GB2312" w:hAnsi="仿宋"/>
          <w:color w:val="000000"/>
          <w:sz w:val="30"/>
          <w:szCs w:val="30"/>
        </w:rPr>
      </w:pPr>
      <w:proofErr w:type="gramStart"/>
      <w:r>
        <w:rPr>
          <w:rFonts w:ascii="仿宋" w:eastAsia="仿宋_GB2312" w:hAnsi="仿宋" w:cs="仿宋_GB2312" w:hint="eastAsia"/>
          <w:color w:val="000000"/>
          <w:sz w:val="30"/>
          <w:szCs w:val="30"/>
        </w:rPr>
        <w:t>所有智库</w:t>
      </w:r>
      <w:proofErr w:type="gramEnd"/>
      <w:r>
        <w:rPr>
          <w:rFonts w:ascii="仿宋" w:eastAsia="仿宋_GB2312" w:hAnsi="仿宋" w:cs="仿宋_GB2312" w:hint="eastAsia"/>
          <w:color w:val="000000"/>
          <w:sz w:val="30"/>
          <w:szCs w:val="30"/>
        </w:rPr>
        <w:t>项目的观点和数据公开发布应遵守相关制度规定，切实维护国家安全。</w:t>
      </w:r>
    </w:p>
    <w:sectPr w:rsidR="00321CFE" w:rsidRPr="003E24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4A6"/>
    <w:rsid w:val="00321CFE"/>
    <w:rsid w:val="003E2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4A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4A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2018-07-13T03:22:00Z</dcterms:created>
  <dcterms:modified xsi:type="dcterms:W3CDTF">2018-07-13T03:23:00Z</dcterms:modified>
</cp:coreProperties>
</file>